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 – CATEGORIAS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RECURSOS DO EDITAL 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O presente edital possui valor total de </w:t>
      </w:r>
      <w:r w:rsidDel="00000000" w:rsidR="00000000" w:rsidRPr="00000000">
        <w:rPr>
          <w:rtl w:val="0"/>
        </w:rPr>
        <w:t xml:space="preserve">R$30.000,00 (trinta mil reais)</w:t>
      </w:r>
      <w:r w:rsidDel="00000000" w:rsidR="00000000" w:rsidRPr="00000000">
        <w:rPr>
          <w:color w:val="000000"/>
          <w:rtl w:val="0"/>
        </w:rPr>
        <w:t xml:space="preserve">distribuídos da seguinte forma:</w:t>
      </w:r>
      <w:r w:rsidDel="00000000" w:rsidR="00000000" w:rsidRPr="00000000">
        <w:rPr>
          <w:rtl w:val="0"/>
        </w:rPr>
        <w:t xml:space="preserve"> 06 projetos de até R$ 5.000,00 (cinco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DESCRIÇÃO DAS CATEGORIAS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A Categoria de apoio deste edital envolve todas as linguagens artísticas e fazeres culturais, de forma ampla e abrangente, permitindo a maior variedade de propostas e iniciativas culturais.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before="24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 DAS LINGUAGENS ARTÍSTICAS E FAZERES CULTURAIS</w:t>
      </w:r>
    </w:p>
    <w:p w:rsidR="00000000" w:rsidDel="00000000" w:rsidP="00000000" w:rsidRDefault="00000000" w:rsidRPr="00000000" w14:paraId="00000007">
      <w:pPr>
        <w:spacing w:after="20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Artes Visuais</w:t>
      </w:r>
      <w:r w:rsidDel="00000000" w:rsidR="00000000" w:rsidRPr="00000000">
        <w:rPr>
          <w:rtl w:val="0"/>
        </w:rPr>
        <w:t xml:space="preserve">: pintura, escultura, desenho, fotografia, gravura, colagem, ilustração, grafite, entre outras.</w:t>
      </w:r>
    </w:p>
    <w:p w:rsidR="00000000" w:rsidDel="00000000" w:rsidP="00000000" w:rsidRDefault="00000000" w:rsidRPr="00000000" w14:paraId="00000008">
      <w:pPr>
        <w:spacing w:after="20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Artes Cênicas</w:t>
      </w:r>
      <w:r w:rsidDel="00000000" w:rsidR="00000000" w:rsidRPr="00000000">
        <w:rPr>
          <w:rtl w:val="0"/>
        </w:rPr>
        <w:t xml:space="preserve">: teatro, dança, circo, performance, ópera e mímica.</w:t>
      </w:r>
    </w:p>
    <w:p w:rsidR="00000000" w:rsidDel="00000000" w:rsidP="00000000" w:rsidRDefault="00000000" w:rsidRPr="00000000" w14:paraId="00000009">
      <w:pPr>
        <w:spacing w:after="20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Música</w:t>
      </w:r>
      <w:r w:rsidDel="00000000" w:rsidR="00000000" w:rsidRPr="00000000">
        <w:rPr>
          <w:rtl w:val="0"/>
        </w:rPr>
        <w:t xml:space="preserve">: canto, instrumentos musicais, composição, produção musical, entre outros aspectos da criação sonora.</w:t>
      </w:r>
    </w:p>
    <w:p w:rsidR="00000000" w:rsidDel="00000000" w:rsidP="00000000" w:rsidRDefault="00000000" w:rsidRPr="00000000" w14:paraId="0000000A">
      <w:pPr>
        <w:spacing w:after="20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Literatura</w:t>
      </w:r>
      <w:r w:rsidDel="00000000" w:rsidR="00000000" w:rsidRPr="00000000">
        <w:rPr>
          <w:rtl w:val="0"/>
        </w:rPr>
        <w:t xml:space="preserve">: poesia, conto, romance, ensaio, dramaturgia e roteiros.</w:t>
      </w:r>
    </w:p>
    <w:p w:rsidR="00000000" w:rsidDel="00000000" w:rsidP="00000000" w:rsidRDefault="00000000" w:rsidRPr="00000000" w14:paraId="0000000B">
      <w:pPr>
        <w:spacing w:after="20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Audiovisual</w:t>
      </w:r>
      <w:r w:rsidDel="00000000" w:rsidR="00000000" w:rsidRPr="00000000">
        <w:rPr>
          <w:rtl w:val="0"/>
        </w:rPr>
        <w:t xml:space="preserve">: cinema, televisão, vídeos, documentários, animações e videoclipes.</w:t>
      </w:r>
    </w:p>
    <w:p w:rsidR="00000000" w:rsidDel="00000000" w:rsidP="00000000" w:rsidRDefault="00000000" w:rsidRPr="00000000" w14:paraId="0000000C">
      <w:pPr>
        <w:spacing w:after="20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Artesanato</w:t>
      </w:r>
      <w:r w:rsidDel="00000000" w:rsidR="00000000" w:rsidRPr="00000000">
        <w:rPr>
          <w:rtl w:val="0"/>
        </w:rPr>
        <w:t xml:space="preserve">: criações manuais com materiais diversos, como cerâmica, bordado, tecelagem, marcenaria e outros.</w:t>
      </w:r>
    </w:p>
    <w:p w:rsidR="00000000" w:rsidDel="00000000" w:rsidP="00000000" w:rsidRDefault="00000000" w:rsidRPr="00000000" w14:paraId="0000000D">
      <w:pPr>
        <w:spacing w:after="20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Culturas Populares: </w:t>
      </w:r>
      <w:r w:rsidDel="00000000" w:rsidR="00000000" w:rsidRPr="00000000">
        <w:rPr>
          <w:rtl w:val="0"/>
        </w:rPr>
        <w:t xml:space="preserve">Carnaval, Hip Hop, Grupos de Cultura Popular, Cultura Gaúcha</w:t>
      </w:r>
    </w:p>
    <w:p w:rsidR="00000000" w:rsidDel="00000000" w:rsidP="00000000" w:rsidRDefault="00000000" w:rsidRPr="00000000" w14:paraId="0000000E">
      <w:pPr>
        <w:spacing w:after="20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Economia Criativa</w:t>
      </w:r>
      <w:r w:rsidDel="00000000" w:rsidR="00000000" w:rsidRPr="00000000">
        <w:rPr>
          <w:rtl w:val="0"/>
        </w:rPr>
        <w:t xml:space="preserve">: arquitetura, design, moda, gastronomia, multiplataformas, mídias e jogos eletrônicos</w:t>
      </w:r>
    </w:p>
    <w:p w:rsidR="00000000" w:rsidDel="00000000" w:rsidP="00000000" w:rsidRDefault="00000000" w:rsidRPr="00000000" w14:paraId="0000000F">
      <w:pPr>
        <w:spacing w:after="20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Memória e Patrimônio Cultural</w:t>
      </w:r>
      <w:r w:rsidDel="00000000" w:rsidR="00000000" w:rsidRPr="00000000">
        <w:rPr>
          <w:rtl w:val="0"/>
        </w:rPr>
        <w:t xml:space="preserve">: memória, acervo e patrimônio histórico e cultural material, imaterial e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DISTRIBUIÇÃO DE VAGAS E VALORES</w:t>
      </w: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114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860"/>
        <w:gridCol w:w="2475"/>
        <w:gridCol w:w="1755"/>
        <w:gridCol w:w="1305"/>
        <w:gridCol w:w="1350"/>
        <w:tblGridChange w:id="0">
          <w:tblGrid>
            <w:gridCol w:w="1260"/>
            <w:gridCol w:w="1860"/>
            <w:gridCol w:w="2475"/>
            <w:gridCol w:w="1755"/>
            <w:gridCol w:w="1305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-141.73228346456688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-141.732283464566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QTD DE 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-141.732283464566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COTAS PARA PESSOAS NEGRAS, INDÍGENAS ou PCDs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-141.732283464566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-141.732283464566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MÁXIMO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-141.732283464566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DA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-141.7322834645668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CATEGORIA ÚNICA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-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-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-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-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R$ 5.000,00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-141.732283464566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R$ 30.000,00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30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01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color w:val="ff0000"/>
        <w:sz w:val="20"/>
        <w:szCs w:val="20"/>
      </w:rPr>
      <w:drawing>
        <wp:inline distB="114300" distT="114300" distL="114300" distR="114300">
          <wp:extent cx="5399730" cy="762000"/>
          <wp:effectExtent b="0" l="0" r="0" t="0"/>
          <wp:docPr id="19650523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0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420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A10420"/>
    <w:pPr>
      <w:ind w:left="720"/>
      <w:contextualSpacing w:val="1"/>
    </w:pPr>
  </w:style>
  <w:style w:type="paragraph" w:styleId="textocentralizado" w:customStyle="1">
    <w:name w:val="texto_centralizado"/>
    <w:basedOn w:val="Normal"/>
    <w:rsid w:val="00A104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A10420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C853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85393"/>
  </w:style>
  <w:style w:type="character" w:styleId="eop" w:customStyle="1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33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Ya12jQgD6nNXgD4QesoIf4KcPw==">CgMxLjA4AHIhMWlOR1RHZUExZ2VmNjlhYm1uUk8ybUVOQTJUcDVOdldK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2024-04-04T15:38:00Z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