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280" w:line="240" w:lineRule="auto"/>
      <w:jc w:val="left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vn8Ovbz00cB87ZI6Vht/iLFiQ==">CgMxLjA4AHIhMVlBNTYyVmI0elpPQ01UZE5TMEZ6ZzBwN3lRN3F3ZWdN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