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2B66" w14:textId="77777777" w:rsidR="002837E0" w:rsidRDefault="002837E0" w:rsidP="002837E0">
      <w:pPr>
        <w:jc w:val="both"/>
        <w:rPr>
          <w:rFonts w:ascii="Arial" w:hAnsi="Arial" w:cs="Arial"/>
        </w:rPr>
      </w:pPr>
      <w:bookmarkStart w:id="0" w:name="_GoBack"/>
      <w:bookmarkEnd w:id="0"/>
    </w:p>
    <w:p w14:paraId="03A825ED" w14:textId="77777777" w:rsidR="00566FDB" w:rsidRDefault="00566FDB" w:rsidP="002837E0">
      <w:pPr>
        <w:jc w:val="both"/>
        <w:rPr>
          <w:rFonts w:ascii="Arial" w:hAnsi="Arial" w:cs="Arial"/>
        </w:rPr>
      </w:pPr>
    </w:p>
    <w:p w14:paraId="64C3ADF7" w14:textId="77777777" w:rsidR="00566FDB" w:rsidRDefault="00566FDB" w:rsidP="002837E0">
      <w:pPr>
        <w:jc w:val="both"/>
        <w:rPr>
          <w:rFonts w:ascii="Arial" w:hAnsi="Arial" w:cs="Arial"/>
        </w:rPr>
      </w:pPr>
    </w:p>
    <w:p w14:paraId="3113ECB7" w14:textId="77777777" w:rsidR="00566FDB" w:rsidRDefault="00566FDB" w:rsidP="002837E0">
      <w:pPr>
        <w:jc w:val="both"/>
        <w:rPr>
          <w:rFonts w:ascii="Arial" w:hAnsi="Arial" w:cs="Arial"/>
        </w:rPr>
      </w:pPr>
    </w:p>
    <w:p w14:paraId="0B33B43C" w14:textId="77777777" w:rsidR="00566FDB" w:rsidRPr="00566FDB" w:rsidRDefault="00566FDB" w:rsidP="00566FD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MEMORIAL DESCRITIVO.</w:t>
      </w:r>
    </w:p>
    <w:p w14:paraId="59962814" w14:textId="77777777" w:rsidR="00566FDB" w:rsidRPr="00566FDB" w:rsidRDefault="00566FDB" w:rsidP="00566FD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REFORMA E AMPLIAÇÃO DO CRAS.</w:t>
      </w:r>
    </w:p>
    <w:p w14:paraId="56A3C164" w14:textId="6825DB6E" w:rsidR="00566FDB" w:rsidRPr="00566FDB" w:rsidRDefault="00566FDB" w:rsidP="00566FD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A87A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REFORMA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COZINHA E </w:t>
      </w:r>
      <w:r w:rsidR="00A87A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AMPLIAÇÃO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LAVANDERIA)</w:t>
      </w:r>
    </w:p>
    <w:p w14:paraId="633EF8DC" w14:textId="77777777" w:rsidR="00566FDB" w:rsidRPr="00566FDB" w:rsidRDefault="00566FDB" w:rsidP="00566FD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DE0078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Este memorial tem por objetivo nortear os trabalhos de reforma e ampliação mais especificamente da cozinha e lavanderia a serem executados no prédio ocupado pelo CRAS.</w:t>
      </w:r>
    </w:p>
    <w:p w14:paraId="3CC4A854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Inicialmente trataremos da reforma, para então, na sequência, tratarmos da ampliação que será o espaço destinado a lavanderia.  </w:t>
      </w:r>
    </w:p>
    <w:p w14:paraId="5F7A62DA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Em se tratando da reforma, os serviços a serem executados são: demolição de alvenaria, substituição do piso por porcelanato, revestimento cerâmico nas parede, execução de bancada, troca de forro, troca de aberturas, reboco com massa látex e pintura.</w:t>
      </w:r>
    </w:p>
    <w:p w14:paraId="752F28D9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Trata-se da demolição de paredes de alvenaria, sendo uma delas a divisória entre a cozinha e lavanderia com o intuito de ampliar a cozinha e projetar uma bancada para melhorar o espaço físico e dar condições ao local para que possam acontecer os cursos de culinária(oficinas).</w:t>
      </w:r>
    </w:p>
    <w:p w14:paraId="2D3EFD00" w14:textId="1CD750B8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Considerando que nas paredes temos revestimento cerâmico, bastante antigo, quebrado e de vários tipos, optamos em fazer a retirada do mesmo e apenas rebocar a parede, os demais rebocos deverão ser refeitos, e será colocado um revestimento cerâm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>ico nas paredes onde teremos equipamentos</w:t>
      </w:r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>(uma parede em L e 80 cm de outra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na bancada. Convém ressaltar que tomadas serão relocadas e pontos de água adaptados</w:t>
      </w:r>
      <w:r w:rsidR="007D3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acordo com projetos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D3C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Todas as tomadas dever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ão ter </w:t>
      </w:r>
      <w:r w:rsidR="00CD55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aterramento. E fiação dentro de 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eletrodutos, inclusive as fiações do forro.</w:t>
      </w:r>
    </w:p>
    <w:p w14:paraId="647CBFB1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Quanto ao forro de madeira, este deverá ser retirado e deverá ser substituído por um forro de PVC com roda-forro.</w:t>
      </w:r>
    </w:p>
    <w:p w14:paraId="20D2C936" w14:textId="68B5421C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Considerando que o piso apresenta várias emendas de revestimentos diferentes, e está desnivelado, se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rá necessário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demolição do revestimento cerâmico, para então executar um contrapiso e assentar um porcelanato único.</w:t>
      </w:r>
    </w:p>
    <w:p w14:paraId="46C4A210" w14:textId="6D12E7DE" w:rsidR="00CF2933" w:rsidRDefault="00566FDB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Teremos também a retirada de 3 portas, 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sendo que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 porta interna de madeira será r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etirada e ficará apenas o vão </w:t>
      </w:r>
      <w:r w:rsidR="009753F7" w:rsidRPr="00996B9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(esta porta está prevista em outra verba), 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vão anterior será fechado com alvenaria e abriremos </w:t>
      </w:r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>um novo local na parede. O mesmo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acontecerá com uma das portas externas, que 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também será relocada. 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s portas externas serão substituídas por portas novas de alumínio. As janelas também serão trocadas por janelas de alumínio, com dimensões diferentes das existentes a fim de manter um peitoril de 1,20 m de altura. Para tanto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será necessário demolir os quadros das portas e promover a demolição para novas aberturas, bem como preencher peitoris para atingir a altura necessá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ria, tudo devidamente r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>ebo</w:t>
      </w:r>
      <w:r w:rsid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>cado e considerado em orçamento.</w:t>
      </w:r>
    </w:p>
    <w:p w14:paraId="2B4765A3" w14:textId="77777777" w:rsidR="00CF2933" w:rsidRDefault="00CF2933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561EB2" w14:textId="77777777" w:rsidR="00CF2933" w:rsidRDefault="00CF2933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8A14DC" w14:textId="77777777" w:rsidR="00CF2933" w:rsidRDefault="00CF2933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4EF59E" w14:textId="77777777" w:rsidR="00CF2933" w:rsidRDefault="00CF2933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5C2801" w14:textId="38CF2453" w:rsidR="009753F7" w:rsidRPr="00566FDB" w:rsidRDefault="00566FDB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As paredes por sua vez terão o reboco removido trincos consertados e serão novamente rebocadas e receberão massa látex, a qual deverá ser devidamente lixada para melhorar o aspecto das paredes. Após a preparação das paredes, estas receberão selador acrílico e posteriormente tinta acrílica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(paredes internas)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F2933" w:rsidRP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D55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</w:t>
      </w:r>
      <w:r w:rsid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paredes </w:t>
      </w:r>
      <w:r w:rsidR="00CF2933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atrás dos equipamentos</w:t>
      </w:r>
      <w:r w:rsidR="00CF2933" w:rsidRP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>terão revestimento cerâmico.</w:t>
      </w:r>
    </w:p>
    <w:p w14:paraId="34EFC5C4" w14:textId="4DD5B66F" w:rsidR="009753F7" w:rsidRDefault="00566FDB" w:rsidP="009753F7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Os revestimentos cerâmicos e porcelanato deverão ter a aprovação da secretária responsável pelo Setor, bem como</w:t>
      </w:r>
      <w:r w:rsidR="00975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cor da tinta a ser utilizada.</w:t>
      </w:r>
    </w:p>
    <w:p w14:paraId="1AC4A5DB" w14:textId="47F56D7B" w:rsidR="009753F7" w:rsidRPr="00566FDB" w:rsidRDefault="009753F7" w:rsidP="009753F7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No espaço coberto teremos um muro totalmente novo e o contrapiso refeito, bem como reve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stimento em porcelanato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E59C5" w:rsidRPr="00AE59C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Instalar um ralo no local.</w:t>
      </w:r>
    </w:p>
    <w:p w14:paraId="223A2346" w14:textId="1BFB1EA4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Quanto a ampliação, será executada uma peça, um compartimento para instalar a lavanderia, e o acesso da cozinha a</w:t>
      </w:r>
      <w:r w:rsidR="00FA506A">
        <w:rPr>
          <w:rFonts w:asciiTheme="minorHAnsi" w:eastAsiaTheme="minorHAnsi" w:hAnsiTheme="minorHAnsi" w:cstheme="minorBidi"/>
          <w:sz w:val="22"/>
          <w:szCs w:val="22"/>
          <w:lang w:eastAsia="en-US"/>
        </w:rPr>
        <w:t>té essa lavanderia será coberto (espaço coberto)</w:t>
      </w:r>
    </w:p>
    <w:p w14:paraId="2B680222" w14:textId="6AA46BA1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Será executado inicialmente um gabarito, após será aberta a vala para receber o concreto ciclópico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proofErr w:type="spellStart"/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>por</w:t>
      </w:r>
      <w:proofErr w:type="spellEnd"/>
      <w:r w:rsidR="00996B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fim a vig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>a de fundação de concreto armado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após será feita a impermeabilização desta viga com </w:t>
      </w:r>
      <w:proofErr w:type="spellStart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hidroasfalto</w:t>
      </w:r>
      <w:proofErr w:type="spellEnd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em demãos cruzadas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>, bem como o espaço coberto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02693B0" w14:textId="1CEF867D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Dentro da viga de fundação teremos as esperas para os 4 pilares de concreto armado 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(alguns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 serem embutidos na alvenaria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, a alvenaria será de tijolos furados com argamassa de assentamento e sobre a alvenaria teremos uma cinta de concreto armado, que além de amarrar a estrutura servirá de suporte em partes para a platibanda.</w:t>
      </w:r>
    </w:p>
    <w:p w14:paraId="02F368BA" w14:textId="1D93894F" w:rsidR="00114273" w:rsidRPr="00114273" w:rsidRDefault="00566FDB" w:rsidP="0011427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cobertura será de </w:t>
      </w:r>
      <w:proofErr w:type="spellStart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aluzinco</w:t>
      </w:r>
      <w:proofErr w:type="spellEnd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 uma calha para receber as águas pluviais</w:t>
      </w:r>
      <w:r w:rsidR="00CF29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condutor vertical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teremos também </w:t>
      </w:r>
      <w:proofErr w:type="spellStart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algeroza</w:t>
      </w:r>
      <w:proofErr w:type="spellEnd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evitar a infiltração e a estrutura do telhado será de madeira. As aberturas serão de alumínio e o forro será de </w:t>
      </w:r>
      <w:proofErr w:type="spellStart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pvc</w:t>
      </w:r>
      <w:proofErr w:type="spellEnd"/>
      <w:r w:rsidR="001142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114273" w:rsidRPr="001142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bem como o forro do espaço coberto</w:t>
      </w:r>
      <w:r w:rsidRPr="001142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E59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Aqui, temos previsto apenas o restante do telhado que cobre a lavanderia. </w:t>
      </w:r>
      <w:r w:rsidR="00AE59C5" w:rsidRPr="00AE59C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Já que os itens de troca do telhado, madeiramento (ajuste da tesoura) e retirada do telha</w:t>
      </w:r>
      <w:r w:rsidR="00172C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 </w:t>
      </w:r>
      <w:r w:rsidR="00AE59C5" w:rsidRPr="00AE59C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existente e</w:t>
      </w:r>
      <w:r w:rsidR="001142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stão</w:t>
      </w:r>
      <w:r w:rsidR="00AE59C5" w:rsidRPr="00AE59C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previsto em outra verba.</w:t>
      </w:r>
    </w:p>
    <w:p w14:paraId="5E613FC8" w14:textId="04ACAC2C" w:rsidR="00566FDB" w:rsidRPr="00566FDB" w:rsidRDefault="00566FDB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Para se atingir o valor final do orçamento haverá uma compleme</w:t>
      </w:r>
      <w:r w:rsidR="00C77E3E">
        <w:rPr>
          <w:rFonts w:asciiTheme="minorHAnsi" w:eastAsiaTheme="minorHAnsi" w:hAnsiTheme="minorHAnsi" w:cstheme="minorBidi"/>
          <w:sz w:val="22"/>
          <w:szCs w:val="22"/>
          <w:lang w:eastAsia="en-US"/>
        </w:rPr>
        <w:t>ntação de valores por parte da 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dministração. </w:t>
      </w:r>
    </w:p>
    <w:p w14:paraId="50481658" w14:textId="5A6FD2BB" w:rsidR="00CF2933" w:rsidRDefault="00172C3A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Lagoa</w:t>
      </w:r>
      <w:r w:rsidR="0060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dos Três Cantos, 15 de Janeiro de 2024</w:t>
      </w:r>
      <w:r w:rsidR="00566FDB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099C2E2" w14:textId="77777777" w:rsidR="00B56911" w:rsidRPr="00566FDB" w:rsidRDefault="00B56911" w:rsidP="00CF2933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7FD199" w14:textId="47E44DA2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SERGIO ANTONIO LASCH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Andréa Rejane Kayser</w:t>
      </w:r>
    </w:p>
    <w:p w14:paraId="3998D684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Prefeito Municipal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Engenheira Civil</w:t>
      </w:r>
    </w:p>
    <w:p w14:paraId="646D077D" w14:textId="77777777" w:rsidR="00566FDB" w:rsidRDefault="00566FDB" w:rsidP="002837E0">
      <w:pPr>
        <w:jc w:val="both"/>
        <w:rPr>
          <w:rFonts w:ascii="Arial" w:hAnsi="Arial" w:cs="Arial"/>
        </w:rPr>
      </w:pPr>
    </w:p>
    <w:p w14:paraId="376A4A10" w14:textId="77777777" w:rsidR="00566FDB" w:rsidRPr="006F68F8" w:rsidRDefault="00566FDB" w:rsidP="002837E0">
      <w:pPr>
        <w:jc w:val="both"/>
        <w:rPr>
          <w:rFonts w:ascii="Arial" w:hAnsi="Arial" w:cs="Arial"/>
        </w:rPr>
      </w:pPr>
    </w:p>
    <w:p w14:paraId="03DDA6C6" w14:textId="77777777" w:rsidR="00785CF4" w:rsidRPr="006F68F8" w:rsidRDefault="00785CF4" w:rsidP="002837E0">
      <w:pPr>
        <w:jc w:val="both"/>
        <w:rPr>
          <w:rFonts w:ascii="Arial" w:hAnsi="Arial" w:cs="Arial"/>
        </w:rPr>
      </w:pPr>
    </w:p>
    <w:p w14:paraId="6953AEAD" w14:textId="77777777" w:rsidR="00785CF4" w:rsidRDefault="00785CF4" w:rsidP="002837E0">
      <w:pPr>
        <w:jc w:val="both"/>
        <w:rPr>
          <w:rFonts w:ascii="Arial" w:hAnsi="Arial" w:cs="Arial"/>
        </w:rPr>
      </w:pPr>
    </w:p>
    <w:p w14:paraId="5CEA1918" w14:textId="77777777" w:rsidR="00677D6A" w:rsidRPr="006F68F8" w:rsidRDefault="00677D6A" w:rsidP="002837E0">
      <w:pPr>
        <w:jc w:val="both"/>
        <w:rPr>
          <w:rFonts w:ascii="Arial" w:hAnsi="Arial" w:cs="Arial"/>
        </w:rPr>
      </w:pPr>
    </w:p>
    <w:p w14:paraId="4A611E41" w14:textId="77777777" w:rsidR="00B50A43" w:rsidRPr="006F68F8" w:rsidRDefault="00B50A43" w:rsidP="002837E0">
      <w:pPr>
        <w:jc w:val="both"/>
        <w:rPr>
          <w:rFonts w:ascii="Arial" w:hAnsi="Arial" w:cs="Arial"/>
        </w:rPr>
      </w:pPr>
    </w:p>
    <w:p w14:paraId="49123214" w14:textId="77777777" w:rsidR="004E3AD3" w:rsidRPr="00D16D2F" w:rsidRDefault="004E3AD3" w:rsidP="007333AF">
      <w:pPr>
        <w:jc w:val="both"/>
        <w:rPr>
          <w:rFonts w:ascii="Arial" w:hAnsi="Arial" w:cs="Arial"/>
          <w:b/>
        </w:rPr>
      </w:pPr>
    </w:p>
    <w:p w14:paraId="5A1805E0" w14:textId="77777777" w:rsidR="00C56D53" w:rsidRDefault="00C56D53" w:rsidP="00C56D53">
      <w:pPr>
        <w:pStyle w:val="Ttulo"/>
      </w:pPr>
    </w:p>
    <w:sectPr w:rsidR="00C56D53" w:rsidSect="007A2C0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F761" w14:textId="77777777" w:rsidR="00625192" w:rsidRDefault="00625192" w:rsidP="00404C3F">
      <w:r>
        <w:separator/>
      </w:r>
    </w:p>
  </w:endnote>
  <w:endnote w:type="continuationSeparator" w:id="0">
    <w:p w14:paraId="468BD703" w14:textId="77777777" w:rsidR="00625192" w:rsidRDefault="00625192" w:rsidP="004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ED28" w14:textId="77777777" w:rsidR="00625192" w:rsidRDefault="00625192" w:rsidP="00404C3F">
      <w:r>
        <w:separator/>
      </w:r>
    </w:p>
  </w:footnote>
  <w:footnote w:type="continuationSeparator" w:id="0">
    <w:p w14:paraId="14CC518F" w14:textId="77777777" w:rsidR="00625192" w:rsidRDefault="00625192" w:rsidP="0040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97FE" w14:textId="5913BC41" w:rsidR="00404C3F" w:rsidRDefault="007B09A5">
    <w:pPr>
      <w:pStyle w:val="Cabealho"/>
    </w:pPr>
    <w:r>
      <w:rPr>
        <w:noProof/>
        <w:lang w:eastAsia="pt-BR"/>
      </w:rPr>
      <w:drawing>
        <wp:inline distT="0" distB="0" distL="0" distR="0" wp14:anchorId="244C4DCC" wp14:editId="74CFAA00">
          <wp:extent cx="1048385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2C0F" w:rsidRPr="00404C3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6E01BC" wp14:editId="6529E254">
          <wp:simplePos x="0" y="0"/>
          <wp:positionH relativeFrom="page">
            <wp:posOffset>467360</wp:posOffset>
          </wp:positionH>
          <wp:positionV relativeFrom="paragraph">
            <wp:posOffset>-10160</wp:posOffset>
          </wp:positionV>
          <wp:extent cx="951865" cy="991235"/>
          <wp:effectExtent l="0" t="0" r="635" b="0"/>
          <wp:wrapNone/>
          <wp:docPr id="16" name="Imagem 16" descr="C:\Users\windows\Documents\CAMPANHAS\Brasã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AMPANHAS\Brasão Vaza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C0F" w:rsidRPr="00404C3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09C414" wp14:editId="1FB42682">
              <wp:simplePos x="0" y="0"/>
              <wp:positionH relativeFrom="margin">
                <wp:posOffset>733425</wp:posOffset>
              </wp:positionH>
              <wp:positionV relativeFrom="paragraph">
                <wp:posOffset>-240030</wp:posOffset>
              </wp:positionV>
              <wp:extent cx="4257675" cy="1600200"/>
              <wp:effectExtent l="0" t="0" r="28575" b="1905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60AA3" w14:textId="77777777" w:rsidR="00C82061" w:rsidRDefault="00C82061" w:rsidP="00404C3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D42FF01" w14:textId="77777777" w:rsidR="00404C3F" w:rsidRPr="00020A22" w:rsidRDefault="00404C3F" w:rsidP="00404C3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PREFEITURA MUNICIPAL DE LAGOA DOS TRÊS</w:t>
                          </w:r>
                          <w:r w:rsidR="00020A22" w:rsidRPr="00020A22">
                            <w:rPr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CANTOS</w:t>
                          </w:r>
                        </w:p>
                        <w:p w14:paraId="0E3DC9DE" w14:textId="77777777" w:rsidR="00404C3F" w:rsidRPr="006C674A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6C674A">
                            <w:rPr>
                              <w:sz w:val="20"/>
                            </w:rPr>
                            <w:t xml:space="preserve">Rua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Ervino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Petry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>, 100 – CEP 99495-000</w:t>
                          </w:r>
                          <w:r w:rsidR="00C82061" w:rsidRPr="00C82061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37610E7" w14:textId="77777777" w:rsidR="00C82061" w:rsidRPr="00C56D53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C56D53">
                            <w:rPr>
                              <w:sz w:val="20"/>
                            </w:rPr>
                            <w:t>Fone/Fax: (0xx54) 3392-1082 / 1083 / 1084 / 1085</w:t>
                          </w:r>
                          <w:r w:rsidR="00C82061" w:rsidRPr="00C56D53">
                            <w:rPr>
                              <w:sz w:val="20"/>
                            </w:rPr>
                            <w:t xml:space="preserve"> / 1086 </w:t>
                          </w:r>
                          <w:r w:rsidRPr="00C56D5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3736428" w14:textId="77777777" w:rsidR="00404C3F" w:rsidRPr="00C760CF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C760CF">
                            <w:rPr>
                              <w:sz w:val="20"/>
                              <w:lang w:val="en-US"/>
                            </w:rPr>
                            <w:t>CNPJ: 94.704.277/0001-94</w:t>
                          </w:r>
                        </w:p>
                        <w:p w14:paraId="4CD61E49" w14:textId="77777777" w:rsidR="00F1172B" w:rsidRPr="00C760CF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C760CF">
                            <w:rPr>
                              <w:sz w:val="20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="00C82061" w:rsidRPr="00C760CF">
                              <w:rPr>
                                <w:rStyle w:val="Hyperlink"/>
                                <w:sz w:val="20"/>
                                <w:lang w:val="en-US"/>
                              </w:rPr>
                              <w:t>pmltc@lagoa3cantos.rs.gov.br</w:t>
                            </w:r>
                          </w:hyperlink>
                        </w:p>
                        <w:p w14:paraId="4D54A27F" w14:textId="77777777" w:rsidR="00F1172B" w:rsidRPr="00F1172B" w:rsidRDefault="00F1172B" w:rsidP="00F260B5">
                          <w:pPr>
                            <w:jc w:val="center"/>
                            <w:rPr>
                              <w:b/>
                            </w:rPr>
                          </w:pPr>
                          <w:r w:rsidRPr="00F1172B">
                            <w:rPr>
                              <w:b/>
                            </w:rPr>
                            <w:t xml:space="preserve">O TRABALHO QUE </w:t>
                          </w:r>
                          <w:r w:rsidR="00F260B5">
                            <w:rPr>
                              <w:b/>
                            </w:rPr>
                            <w:t>VOCÊ</w:t>
                          </w:r>
                          <w:r w:rsidRPr="00F1172B">
                            <w:rPr>
                              <w:b/>
                            </w:rPr>
                            <w:t xml:space="preserve"> VÊ!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C41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75pt;margin-top:-18.9pt;width:335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" strokecolor="white [3212]">
              <v:textbox>
                <w:txbxContent>
                  <w:p w14:paraId="5D360AA3" w14:textId="77777777" w:rsidR="00C82061" w:rsidRDefault="00C82061" w:rsidP="00404C3F">
                    <w:pPr>
                      <w:jc w:val="center"/>
                      <w:rPr>
                        <w:b/>
                      </w:rPr>
                    </w:pPr>
                  </w:p>
                  <w:p w14:paraId="7D42FF01" w14:textId="77777777" w:rsidR="00404C3F" w:rsidRPr="00020A22" w:rsidRDefault="00404C3F" w:rsidP="00404C3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20A22">
                      <w:rPr>
                        <w:b/>
                        <w:sz w:val="22"/>
                        <w:szCs w:val="22"/>
                      </w:rPr>
                      <w:t>PREFEITURA MUNICIPAL DE LAGOA DOS TRÊS</w:t>
                    </w:r>
                    <w:r w:rsidR="00020A22" w:rsidRPr="00020A22">
                      <w:rPr>
                        <w:b/>
                        <w:sz w:val="22"/>
                        <w:szCs w:val="22"/>
                      </w:rPr>
                      <w:t xml:space="preserve">   </w:t>
                    </w:r>
                    <w:r w:rsidRPr="00020A22">
                      <w:rPr>
                        <w:b/>
                        <w:sz w:val="22"/>
                        <w:szCs w:val="22"/>
                      </w:rPr>
                      <w:t>CANTOS</w:t>
                    </w:r>
                  </w:p>
                  <w:p w14:paraId="0E3DC9DE" w14:textId="77777777" w:rsidR="00404C3F" w:rsidRPr="006C674A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6C674A">
                      <w:rPr>
                        <w:sz w:val="20"/>
                      </w:rPr>
                      <w:t xml:space="preserve">Rua </w:t>
                    </w:r>
                    <w:proofErr w:type="spellStart"/>
                    <w:r w:rsidRPr="006C674A">
                      <w:rPr>
                        <w:sz w:val="20"/>
                      </w:rPr>
                      <w:t>Ervino</w:t>
                    </w:r>
                    <w:proofErr w:type="spellEnd"/>
                    <w:r w:rsidRPr="006C674A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6C674A">
                      <w:rPr>
                        <w:sz w:val="20"/>
                      </w:rPr>
                      <w:t>Petry</w:t>
                    </w:r>
                    <w:proofErr w:type="spellEnd"/>
                    <w:r w:rsidRPr="006C674A">
                      <w:rPr>
                        <w:sz w:val="20"/>
                      </w:rPr>
                      <w:t>, 100 – CEP 99495-000</w:t>
                    </w:r>
                    <w:r w:rsidR="00C82061" w:rsidRPr="00C82061">
                      <w:rPr>
                        <w:b/>
                      </w:rPr>
                      <w:t xml:space="preserve"> </w:t>
                    </w:r>
                  </w:p>
                  <w:p w14:paraId="737610E7" w14:textId="77777777" w:rsidR="00C82061" w:rsidRPr="00C56D53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C56D53">
                      <w:rPr>
                        <w:sz w:val="20"/>
                      </w:rPr>
                      <w:t>Fone/Fax: (0xx54) 3392-1082 / 1083 / 1084 / 1085</w:t>
                    </w:r>
                    <w:r w:rsidR="00C82061" w:rsidRPr="00C56D53">
                      <w:rPr>
                        <w:sz w:val="20"/>
                      </w:rPr>
                      <w:t xml:space="preserve"> / 1086 </w:t>
                    </w:r>
                    <w:r w:rsidRPr="00C56D53">
                      <w:rPr>
                        <w:sz w:val="20"/>
                      </w:rPr>
                      <w:t xml:space="preserve"> </w:t>
                    </w:r>
                  </w:p>
                  <w:p w14:paraId="13736428" w14:textId="77777777" w:rsidR="00404C3F" w:rsidRPr="00C760CF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C760CF">
                      <w:rPr>
                        <w:sz w:val="20"/>
                        <w:lang w:val="en-US"/>
                      </w:rPr>
                      <w:t>CNPJ: 94.704.277/0001-94</w:t>
                    </w:r>
                  </w:p>
                  <w:p w14:paraId="4CD61E49" w14:textId="77777777" w:rsidR="00F1172B" w:rsidRPr="00C760CF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C760CF">
                      <w:rPr>
                        <w:sz w:val="20"/>
                        <w:lang w:val="en-US"/>
                      </w:rPr>
                      <w:t xml:space="preserve">Email: </w:t>
                    </w:r>
                    <w:hyperlink r:id="rId4" w:history="1">
                      <w:r w:rsidR="00C82061" w:rsidRPr="00C760CF">
                        <w:rPr>
                          <w:rStyle w:val="Hyperlink"/>
                          <w:sz w:val="20"/>
                          <w:lang w:val="en-US"/>
                        </w:rPr>
                        <w:t>pmltc@lagoa3cantos.rs.gov.br</w:t>
                      </w:r>
                    </w:hyperlink>
                  </w:p>
                  <w:p w14:paraId="4D54A27F" w14:textId="77777777" w:rsidR="00F1172B" w:rsidRPr="00F1172B" w:rsidRDefault="00F1172B" w:rsidP="00F260B5">
                    <w:pPr>
                      <w:jc w:val="center"/>
                      <w:rPr>
                        <w:b/>
                      </w:rPr>
                    </w:pPr>
                    <w:r w:rsidRPr="00F1172B">
                      <w:rPr>
                        <w:b/>
                      </w:rPr>
                      <w:t xml:space="preserve">O TRABALHO QUE </w:t>
                    </w:r>
                    <w:r w:rsidR="00F260B5">
                      <w:rPr>
                        <w:b/>
                      </w:rPr>
                      <w:t>VOCÊ</w:t>
                    </w:r>
                    <w:r w:rsidRPr="00F1172B">
                      <w:rPr>
                        <w:b/>
                      </w:rPr>
                      <w:t xml:space="preserve"> VÊ!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B1B"/>
    <w:multiLevelType w:val="hybridMultilevel"/>
    <w:tmpl w:val="A34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AFE"/>
    <w:multiLevelType w:val="hybridMultilevel"/>
    <w:tmpl w:val="4CC822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A46A2"/>
    <w:multiLevelType w:val="multilevel"/>
    <w:tmpl w:val="53F2F5F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emEspaamento"/>
      <w:lvlText w:val="%2."/>
      <w:lvlJc w:val="left"/>
      <w:pPr>
        <w:ind w:left="792" w:hanging="432"/>
      </w:pPr>
      <w:rPr>
        <w:rFonts w:ascii="Calibri" w:eastAsia="Times New Roman" w:hAnsi="Calibri" w:cs="Calibr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B6575B"/>
    <w:multiLevelType w:val="hybridMultilevel"/>
    <w:tmpl w:val="04CE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66FA"/>
    <w:multiLevelType w:val="multilevel"/>
    <w:tmpl w:val="8EEA3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58387D"/>
    <w:multiLevelType w:val="hybridMultilevel"/>
    <w:tmpl w:val="08981C30"/>
    <w:lvl w:ilvl="0" w:tplc="3528B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D6BA8"/>
    <w:multiLevelType w:val="hybridMultilevel"/>
    <w:tmpl w:val="ADE498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D4"/>
    <w:multiLevelType w:val="hybridMultilevel"/>
    <w:tmpl w:val="F79E09D8"/>
    <w:lvl w:ilvl="0" w:tplc="EE745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14"/>
    <w:rsid w:val="00020A22"/>
    <w:rsid w:val="00053EF6"/>
    <w:rsid w:val="00086C72"/>
    <w:rsid w:val="000A3DB3"/>
    <w:rsid w:val="000C4E9F"/>
    <w:rsid w:val="000E62C6"/>
    <w:rsid w:val="00114273"/>
    <w:rsid w:val="0013292F"/>
    <w:rsid w:val="00143A02"/>
    <w:rsid w:val="00172C3A"/>
    <w:rsid w:val="00196154"/>
    <w:rsid w:val="001B02B4"/>
    <w:rsid w:val="001C4B88"/>
    <w:rsid w:val="001C6EAC"/>
    <w:rsid w:val="0020363F"/>
    <w:rsid w:val="0025690E"/>
    <w:rsid w:val="0027777B"/>
    <w:rsid w:val="002813D5"/>
    <w:rsid w:val="002837E0"/>
    <w:rsid w:val="0028519E"/>
    <w:rsid w:val="002F1058"/>
    <w:rsid w:val="003217DE"/>
    <w:rsid w:val="00340D70"/>
    <w:rsid w:val="00357BFA"/>
    <w:rsid w:val="003647CF"/>
    <w:rsid w:val="00377D82"/>
    <w:rsid w:val="00380D50"/>
    <w:rsid w:val="00382479"/>
    <w:rsid w:val="00391606"/>
    <w:rsid w:val="003B22A5"/>
    <w:rsid w:val="003C32CC"/>
    <w:rsid w:val="003F6988"/>
    <w:rsid w:val="00404C3F"/>
    <w:rsid w:val="00410AE3"/>
    <w:rsid w:val="00416473"/>
    <w:rsid w:val="00420D3C"/>
    <w:rsid w:val="004B747F"/>
    <w:rsid w:val="004C18BD"/>
    <w:rsid w:val="004D73B4"/>
    <w:rsid w:val="004E3AD3"/>
    <w:rsid w:val="00502BBB"/>
    <w:rsid w:val="00523140"/>
    <w:rsid w:val="00527FCD"/>
    <w:rsid w:val="00544599"/>
    <w:rsid w:val="00562E4E"/>
    <w:rsid w:val="00566FDB"/>
    <w:rsid w:val="0059193A"/>
    <w:rsid w:val="005A21E9"/>
    <w:rsid w:val="005B5DF8"/>
    <w:rsid w:val="005E46BA"/>
    <w:rsid w:val="006046F2"/>
    <w:rsid w:val="0061255D"/>
    <w:rsid w:val="00625192"/>
    <w:rsid w:val="00672C8C"/>
    <w:rsid w:val="00675070"/>
    <w:rsid w:val="00677D6A"/>
    <w:rsid w:val="00690A99"/>
    <w:rsid w:val="0069363A"/>
    <w:rsid w:val="006C62FB"/>
    <w:rsid w:val="006F0B6B"/>
    <w:rsid w:val="006F68F8"/>
    <w:rsid w:val="00723C02"/>
    <w:rsid w:val="00725512"/>
    <w:rsid w:val="00725AF7"/>
    <w:rsid w:val="007333AF"/>
    <w:rsid w:val="00743FAA"/>
    <w:rsid w:val="00785CF4"/>
    <w:rsid w:val="007A2C0F"/>
    <w:rsid w:val="007B09A5"/>
    <w:rsid w:val="007D3C7B"/>
    <w:rsid w:val="007D7E37"/>
    <w:rsid w:val="007E38C9"/>
    <w:rsid w:val="008329B5"/>
    <w:rsid w:val="0086481D"/>
    <w:rsid w:val="00873FB7"/>
    <w:rsid w:val="00880B92"/>
    <w:rsid w:val="008940FC"/>
    <w:rsid w:val="008B7065"/>
    <w:rsid w:val="00915CFD"/>
    <w:rsid w:val="009753F7"/>
    <w:rsid w:val="00982BBB"/>
    <w:rsid w:val="00996B97"/>
    <w:rsid w:val="009F7730"/>
    <w:rsid w:val="00A02DCE"/>
    <w:rsid w:val="00A773E0"/>
    <w:rsid w:val="00A87A00"/>
    <w:rsid w:val="00AB6071"/>
    <w:rsid w:val="00AE59C5"/>
    <w:rsid w:val="00B50A43"/>
    <w:rsid w:val="00B56911"/>
    <w:rsid w:val="00B93A1B"/>
    <w:rsid w:val="00B959EF"/>
    <w:rsid w:val="00BB3B47"/>
    <w:rsid w:val="00BD0296"/>
    <w:rsid w:val="00BD7BEF"/>
    <w:rsid w:val="00BE0CBC"/>
    <w:rsid w:val="00BE7108"/>
    <w:rsid w:val="00BF28CA"/>
    <w:rsid w:val="00BF45FF"/>
    <w:rsid w:val="00C169D6"/>
    <w:rsid w:val="00C56D53"/>
    <w:rsid w:val="00C760CF"/>
    <w:rsid w:val="00C77E3E"/>
    <w:rsid w:val="00C80E9F"/>
    <w:rsid w:val="00C82061"/>
    <w:rsid w:val="00CA4635"/>
    <w:rsid w:val="00CC0050"/>
    <w:rsid w:val="00CD552E"/>
    <w:rsid w:val="00CE1071"/>
    <w:rsid w:val="00CF0D11"/>
    <w:rsid w:val="00CF0F4A"/>
    <w:rsid w:val="00CF2933"/>
    <w:rsid w:val="00CF39F5"/>
    <w:rsid w:val="00D021EA"/>
    <w:rsid w:val="00D136F8"/>
    <w:rsid w:val="00D16D2F"/>
    <w:rsid w:val="00D20AC0"/>
    <w:rsid w:val="00D7545E"/>
    <w:rsid w:val="00D94643"/>
    <w:rsid w:val="00DA5DA1"/>
    <w:rsid w:val="00DB45E2"/>
    <w:rsid w:val="00DD6CB9"/>
    <w:rsid w:val="00E43767"/>
    <w:rsid w:val="00E45914"/>
    <w:rsid w:val="00E50623"/>
    <w:rsid w:val="00E8207D"/>
    <w:rsid w:val="00EB797F"/>
    <w:rsid w:val="00EC2E2D"/>
    <w:rsid w:val="00F1172B"/>
    <w:rsid w:val="00F260B5"/>
    <w:rsid w:val="00F4409B"/>
    <w:rsid w:val="00F46DA2"/>
    <w:rsid w:val="00F54FA6"/>
    <w:rsid w:val="00FA506A"/>
    <w:rsid w:val="00FB3049"/>
    <w:rsid w:val="00FB7290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1AA8B"/>
  <w15:docId w15:val="{B057946A-2969-410A-980B-1410087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Rodap"/>
    <w:next w:val="Normal"/>
    <w:link w:val="Ttulo1Char"/>
    <w:qFormat/>
    <w:rsid w:val="006F68F8"/>
    <w:pPr>
      <w:numPr>
        <w:numId w:val="4"/>
      </w:numPr>
      <w:tabs>
        <w:tab w:val="clear" w:pos="4252"/>
        <w:tab w:val="clear" w:pos="8504"/>
      </w:tabs>
      <w:spacing w:line="360" w:lineRule="auto"/>
      <w:jc w:val="both"/>
      <w:outlineLvl w:val="0"/>
    </w:pPr>
    <w:rPr>
      <w:rFonts w:ascii="Calibri" w:eastAsia="Times New Roman" w:hAnsi="Calibri" w:cs="Calibri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C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3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8519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4C3F"/>
  </w:style>
  <w:style w:type="paragraph" w:styleId="Rodap">
    <w:name w:val="footer"/>
    <w:basedOn w:val="Normal"/>
    <w:link w:val="RodapChar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04C3F"/>
  </w:style>
  <w:style w:type="character" w:customStyle="1" w:styleId="Ttulo1Char">
    <w:name w:val="Título 1 Char"/>
    <w:basedOn w:val="Fontepargpadro"/>
    <w:link w:val="Ttulo1"/>
    <w:rsid w:val="006F68F8"/>
    <w:rPr>
      <w:rFonts w:ascii="Calibri" w:eastAsia="Times New Roman" w:hAnsi="Calibri" w:cs="Calibri"/>
      <w:b/>
      <w:sz w:val="24"/>
      <w:szCs w:val="24"/>
      <w:lang w:eastAsia="pt-BR"/>
    </w:rPr>
  </w:style>
  <w:style w:type="paragraph" w:styleId="SemEspaamento">
    <w:name w:val="No Spacing"/>
    <w:basedOn w:val="Rodap"/>
    <w:uiPriority w:val="1"/>
    <w:qFormat/>
    <w:rsid w:val="006F68F8"/>
    <w:pPr>
      <w:numPr>
        <w:ilvl w:val="1"/>
        <w:numId w:val="4"/>
      </w:numPr>
      <w:tabs>
        <w:tab w:val="clear" w:pos="4252"/>
        <w:tab w:val="clear" w:pos="8504"/>
        <w:tab w:val="left" w:pos="567"/>
      </w:tabs>
      <w:spacing w:line="360" w:lineRule="auto"/>
      <w:ind w:left="0" w:firstLine="0"/>
      <w:jc w:val="both"/>
    </w:pPr>
    <w:rPr>
      <w:rFonts w:ascii="Calibri" w:eastAsia="Times New Roman" w:hAnsi="Calibri" w:cs="Calibri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172B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C56D5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C56D5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760CF"/>
    <w:pPr>
      <w:ind w:left="708" w:firstLine="708"/>
      <w:jc w:val="both"/>
    </w:pPr>
    <w:rPr>
      <w:rFonts w:ascii="Bookman Old Style" w:hAnsi="Bookman Old Style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60CF"/>
    <w:rPr>
      <w:rFonts w:ascii="Bookman Old Style" w:eastAsia="Times New Roman" w:hAnsi="Bookman Old Style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ltc@lagoa3cantos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pmltc@lagoa3cantos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2023-05-15T18:54:00Z</cp:lastPrinted>
  <dcterms:created xsi:type="dcterms:W3CDTF">2024-03-11T12:58:00Z</dcterms:created>
  <dcterms:modified xsi:type="dcterms:W3CDTF">2024-03-11T12:58:00Z</dcterms:modified>
</cp:coreProperties>
</file>